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5322" w:rsidRDefault="00AF152E" w:rsidP="00AF152E">
      <w:pPr>
        <w:jc w:val="center"/>
      </w:pPr>
      <w:r w:rsidRPr="00AF152E">
        <w:t>Figura 1. Diagnóstico Infraestructura Terminal de Transporte de Bucaramanga</w:t>
      </w:r>
    </w:p>
    <w:p w:rsidR="00AF152E" w:rsidRDefault="00AF152E">
      <w:r>
        <w:rPr>
          <w:noProof/>
        </w:rPr>
        <w:drawing>
          <wp:inline distT="0" distB="0" distL="0" distR="0">
            <wp:extent cx="5095875" cy="48672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48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F15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52E"/>
    <w:rsid w:val="00265322"/>
    <w:rsid w:val="00AF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AFD7"/>
  <w15:chartTrackingRefBased/>
  <w15:docId w15:val="{30780C81-9B1C-4E0F-81DE-ADFE075D8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CORTES</dc:creator>
  <cp:keywords/>
  <dc:description/>
  <cp:lastModifiedBy>LUISA CORTES</cp:lastModifiedBy>
  <cp:revision>1</cp:revision>
  <dcterms:created xsi:type="dcterms:W3CDTF">2023-04-09T20:40:00Z</dcterms:created>
  <dcterms:modified xsi:type="dcterms:W3CDTF">2023-04-09T20:41:00Z</dcterms:modified>
</cp:coreProperties>
</file>